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421. “毛孩子的看病账单”——宠物医疗消费与宠物医院选择研究（第十五批）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第十五批（宠物服务×即时便利×乡村农业×文旅新场景×大健康2.0×教育新职业）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研究对象：带宠物就诊过（体检/疫苗/手术）的养宠人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核心变量/研究问题：就诊项目与费用、医院选择（连锁vs社区）、药品价格感知、保险使用、诊疗体验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所属选题库：正大杯第十五批30个特色选题（宠物服务/即时便利/乡村农业/文旅新场景/大健康2.0/教育新职业）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宠物医院/养宠社群渠道；与126题（宠物保险）区分：聚焦医疗服务消费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✅宠物医疗行业2025年约395亿元→2026年预计424亿元（中商产业研究院）；✅连锁型宠物医院将成主流、宠物药品国产品牌起步；✅医疗占宠物消费市场约26%（亚宠研究院）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