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423. “异宠时代，小众萌宠”——异宠（爬宠、仓鼠、鸟）饲养消费研究（第十五批）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研究对象：饲养异宠（非猫犬类）的玩家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核心变量/研究问题：异宠品类、入坑动机、饲养成本（设备/饲料）、医疗获取障碍、合规认知（野生保护）、社群交流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研究阶段：早期+中期（新兴细分）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异宠社群/爬宠店渠道；选题新颖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🔶异宠市场（《2026中国宠物行业白皮书》单列异宠板块）；✅宠物市场3126亿大盘（2026白皮书）；✅异宠饲养政策（林业部门野生动物保护法规背景）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