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424. “宠物生日会，派对经济”——宠物生日宴、宠物派对活动消费研究（补充更新批）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第十五批（421-450）·补充更新（2026-10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研究对象：为宠物办过生日/派对（蛋糕、场地、摄影）的养宠人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核心变量/研究问题：办派对动机（家人/社交）、宠物蛋糕/服装消费、场地选择（宠物餐厅/咖啡厅）、花费、分享传播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研究阶段：早期+中期（小而美）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宠物烘焙/宠物餐厅渠道；与131（宠物咖啡）区分：聚焦活动仪式消费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🔶宠物生日经济（宠物蛋糕店现象媒体需核验）；✅宠物消费3365亿（第十轮证据）；✅情绪消费与仪式感（360题衔接）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