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07. “空中巡检，数智治理”——无人机在城市公共设施巡检中的服务需求调查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研究对象：城市管理部门、物业公司、园区管理方和居民。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核心变量/研究问题：巡检效率、成本节约、数据安全、责任认定、采购意愿。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研究阶段：B2B 初期需求调查。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企业访谈+管理者问卷。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S5，低空经济政策解读及地方无人机应用政策。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