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100. “机器萌宠，数字陪伴”——AI 机器宠物（电子宠物）消费意愿与陪伴效果研究（第三批）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研究对象：对机器宠物（仿生宠物狗/电子宠物）感兴趣或有养宠替代需求的消费者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核心变量/研究问题：陪伴动机（过敏/租房/成本/孤独）、拟人化感知、情感联结、购买与复购意愿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线上宠物/独居青年社群渠道；与真宠物消费形成对照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🔶索尼Aibo等机器宠物为成熟品类（海外案例）；✅2024年城镇犬猫超2.2亿只、宠物经济扩容（宠物殡葬检索引述）；🔶国内仿生宠物产品陆续上市（媒体线索，需核实）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