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101. “数字永生，记忆延续”——AI 数字分身、纪念类服务接受度与伦理认知研究（第三批）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研究对象：了解或接触过 AI 数字分身/逝者复原服务的 18—50 岁人群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核心变量/研究问题：认知度、情感诉求（思念/疗愈）、伦理顾虑（隐私/真假边界）、付费意愿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研究阶段：早期（前沿议题）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生死教育/殡葬行业访谈+线上问卷；伦理争议话题自带讨论度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🔶AI"数字永生"/数字分身服务商业化案例（媒体报道，需引具体公司案例）；🔶Replika等AI伴侣研究文献可支撑情感连接理论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