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102. “AI 写真，一键成片”——AI 数字形象、写真服务消费行为与满意度研究（第三批）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第四批（新奇特消费×AI新硬件×陪伴服务×文化现象×数字治理）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研究对象：使用过 AI 写真（妙鸭相机类）/数字形象生成的用户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核心变量/研究问题：使用场景（社交头像/写真/纪念）、效果满意度、隐私数据担忧、付费与复购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所属选题库：正大杯第四批30个特色创新选题（新奇特/AI硬件/陪伴/文化/数字治理）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社交平台用户渠道+App评论分析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🔶AI写真应用2023年起爆火（如妙鸭相机，媒体报道）；🔶AI生成内容监管政策（配合《人工智能生成合成内容标识办法》等，需引用具体文件）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