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10. “新质生产，谁来买单”——中小企业对智能制造服务的采购意愿及影响因素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研究对象：制造业中小企业负责人和技术负责人。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核心变量/研究问题：数字化基础、投资回报预期、技术供应商信任、人才缺口、采购意愿。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研究阶段：B2B 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工业园区、产业园和商会调查。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S4，[中国政府网最新政策](https://www.gov.cn/zhengce/zuixin/)，其中列有新质生产力相关政策。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## C. 银发经济、康复护理与健康服务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