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116. “数字斋戒，无手机日”——青年数字戒断（息屏、无手机日）意愿与心理收益研究（第三批）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第四批（新奇特消费×AI新硬件×陪伴服务×文化现象×数字治理）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研究对象：参与过或有意愿尝试数字戒断（无手机日/息屏）的 18—35 岁青年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核心变量/研究问题：手机依赖度、戒断动机、体验后心理收益（专注/睡眠/社交）、复戒断意愿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研究阶段：早期+中期（可设计实验对照）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所属选题库：正大杯第四批30个特色创新选题（新奇特/AI硬件/陪伴/文化/数字治理）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高校/职场青年渠道+正念类社群；可结合Screen Time数据自评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✅教育部鼓励"息屏行动"（2025年政策重申）；🔶"数字斋戒"/无手机日全球风潮（媒体报道+学术研究）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