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20. “内容生成，安全先行”——公众对 AI 生成内容标识与真实性判断的认知研究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研究对象：18—45 岁网络内容消费者。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核心变量/研究问题：AI 内容识别能力、平台信任、标识接受度、虚假信息担忧、分享意愿。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研究阶段：社会调查。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使用图片、短视频或新闻标题进行情景实验。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S7，2026 年互联网及 AI 大模型内容风控研究报告。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p>
      <w:pPr>
        <w:spacing w:after="120"/>
      </w:pPr>
      <w:r>
        <w:rPr>
          <w:rFonts w:ascii="宋体" w:hAnsi="宋体" w:eastAsia="宋体"/>
          <w:b w:val="0"/>
          <w:sz w:val="21"/>
        </w:rPr>
        <w:t>## E. 食品、宠物与新消费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