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216. “AI 手机，换机新引擎”——AI 手机、AI 电脑消费意愿与体验研究（第八批）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研究对象：18—45岁关注 AI 终端（AI手机/AI PC）的消费者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核心变量/研究问题：AI功能认知（端侧大模型/通话摘要/修图）、换机动机、价格接受、隐私顾虑、购买意愿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研究阶段：中期（新品放量）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数码测评社群/校园渠道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AI手机/AI电脑销量2026年预计首次超过非AI产品（国家发改委透露重点行业AI渗透率破80%）；✅国家统计局：1—7月规模以上可穿戴智能设备零售额增长超1倍（新华网）；✅AI眼镜等智能消费扩容（新华网2026半年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