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294. “AI绘画，副业真相”——AI绘画、生成式创作变现与创作者生态研究（第十批）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研究对象：尝试AI绘画接单/创作的创作者（含副业人群）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核心变量/研究问题：创作工具、接单渠道、收入区间、竞争感知（价格内卷）、版权认知、持续意愿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研究阶段：早期+中期（现象前沿）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AI绘画社群/自媒体创作渠道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✅中国AI绘画市场规模预计达154亿元（全球破870亿美元）；✅超六成接单者2026上半年月收入不足800元、单价从500元卷到50元（媒体🔶）；✅生成式AI用户5.15亿（CNNIC，第二批已核验）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