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309. “虚拟代言人，数字分身”——数字人、虚拟形象广告代言接受度研究（第十一批）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研究对象：见过虚拟代言人（AI偶像/AI主播卖货）的消费者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核心变量/研究问题：认知渠道、可信度（vs真人）、购买影响（直播带货）、新鲜感vs违和感、接受度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电商直播用户+数字人爱好者渠道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🔶数字人直播带货规模（行业测算需核验）；✅AI虚拟主播行业破千亿（第七轮证据）；✅虚拟网红全球5.49亿美元（第七轮证据）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