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324. “数字遗产，谁来继承”——数字遗产（账号、虚拟财产）处理意愿与政策需求研究（第十一批）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研究对象：18—40岁有网络资产（社交账号/游戏账号/数字藏品）的网民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核心变量/研究问题：数字资产类型、死后处置意愿（封存/继承/删除）、平台规则知晓、立法期待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研究阶段：早期（新颖议题，评委眼前一亮）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线上问卷+社交平台用户访谈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🔶数字遗产案例（媒体报道"逝者账号继承"）；✅《民法典》虚拟财产规定（第127条）；✅平台账号继承规则差异（媒体对比🔶）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