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40. “AI 玩具，潮玩新宠”——智能交互玩偶、陪伴机器人的购买意愿研究（第二批）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研究对象：18—40 岁智能玩具/潮玩购买者（含送礼场景）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核心变量/研究问题：感知价值、技术信任、情感陪伴需求、购买意愿、价格敏感度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商场潮玩店、电商渠道可抽样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✅2025 年国内 AI 玩具市场规模 116.5 亿元、2026 年预计突破 220 亿元，全球 2026 年 485 亿美元、中国占 27%；✅Fuzozo（珞博智能 AI 潮玩）上线 1 年销量 30 万件、销售额超 1.2 亿元，用户日均使用近 50 分钟（投资界 2026-09）；✅2025 年 AI 玩具市场规模 290 亿元（工信部及机构数据）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