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42. “AI 创作，副业新潮”——青年使用 AIGC 工具进行内容创作的参与意愿与收益研究（第二批）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 岁尝试 AI 绘画/写作/短视频创作的青年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核心变量/研究问题：创作动机、工具满意度、投入时间、变现意愿、持续创作意愿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AI 创作社群（抖音/小红书）可精准触达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✅AIGC 用户规模 6.02 亿（2026 年一季度，深联产研）；✅2026 年 1—5 月国内 AI 剧漫剧市场规模 220 亿元、全年有望 400 亿元，用户超 6 亿（DataEye）；🔶AI 产业人才缺口超 500 万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