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465. “AI 生成内容，标识了吗”——AI生成内容标识新规知晓与接受度研究（第十六批）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研究对象：接触AI生成内容（文章/图片/视频）的网民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核心变量/研究问题：AI内容识别能力、标识新规知晓（强制标识）、对未标识内容的信任、平台执行评价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研究阶段：早期+中期（新规）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线上问卷（网民）+内容平台用户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✅《人工智能生成合成内容标识办法》（2025年9月施行，第一批20题已核验）；✅生成式AI用户5.15亿（已核验）；✅AI绘画154亿元（第十批证据）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