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483. “数字断舍离，给手机减负”——数字极简、数字排毒消费与行为研究（第十七批）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研究对象：尝试数字断舍离（删App/关通知/戒短视频）的年轻人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核心变量/研究问题：数字负担感知、断舍离行为（卸载/定时）、替代活动（纸质书/线下）、复瘾现象、身心健康自评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线上问卷+自律社群；与114题（数字戒断游戏化）区分：聚焦系统断舍离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🔶"数字极简"（卡尔·纽波特《数字极简》全球影响、媒体）；✅青少年模式/屏幕时长功能（iOS/安卓系统功能）；✅过度使用危害（学术/媒体）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