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484. “屏幕使用时间，谁在管理”——手机屏幕时长管理与自我控制研究（第十七批）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第十七批（数字生活×城市服务×银发代际2.0×品质生活）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研究对象：日均屏幕使用5小时+的用户（含大学生/职场人）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核心变量/研究问题：使用时长构成（短视频/社交/工作）、时间管理意识、系统限额使用、分心感知、改善尝试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所属选题库：正大杯第十七批20个特色选题（数字生活/城市服务/银发代际2.0/品质生活小确幸·收官批）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校园+职场渠道；评委关注数字素养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🔶人均屏幕时长（媒体/数据机构报告需核验）；✅短视频用户超10亿（CNNIC）；✅教育部等加强青少年手机管理（政策背景）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