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485. “朋友圈三天可见，社交边界”——微信朋友圈可见性与社交边界研究（第十七批）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第十七批（数字生活×城市服务×银发代际2.0×品质生活）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研究对象：设置朋友圈三天可见/分组/关闭的微信用户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核心变量/研究问题：可见性设置、动机（隐私/工作形象/懒）、点赞评论互动、社交焦虑、半熟人社交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研究阶段：早期+中期（社会心理观察）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所属选题库：正大杯第十七批20个特色选题（数字生活/城市服务/银发代际2.0/品质生活小确幸·收官批）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线上问卷（微信用户）；视角细腻独特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🔶"朋友圈三天可见"曾上热搜（媒体议题）；✅私域流量/朋友圈营销（商家视角媒体）；✅社交媒体倦怠（学术）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