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98. “百镜大战，为何吃灰”——AI 眼镜尝鲜消费后的持续使用意愿与“吃灰”现象研究（第三批）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第四批（新奇特消费×AI新硬件×陪伴服务×文化现象×数字治理）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研究对象：已购买 AI 眼镜并体验≥1个月的消费者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核心变量/研究问题：购买动机、使用频率场景、满意度、吃灰原因（功能鸡肋/重量/续航/隐私）、转推荐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研究阶段：成熟期（用户体验复盘）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所属选题库：正大杯第四批30个特色创新选题（新奇特/AI硬件/陪伴/文化/数字治理）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数码社群定向问卷；反常识切入（卖得动、戴不住）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✅2026Q2中国智能眼镜出货同比-8%、音频类下滑35.4%、AR显示类+123%（同花顺金融网引 IDC）；🔶"AI眼镜卖得动戴不住"行业讨论（媒体评论）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