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99. “机器人管家，进家服务”——人形机器人家庭服务接受度与购买意愿研究（第三批）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第四批（新奇特消费×AI新硬件×陪伴服务×文化现象×数字治理）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研究对象：对人形机器人家用化有认知的 25—55 岁消费者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核心变量/研究问题：功能期望（家务/陪护/安保）、价格接受、信任与安全顾虑、购买意愿、替代人工服务意愿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研究阶段：早期（趋势预研）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所属选题库：正大杯第四批30个特色创新选题（新奇特/AI硬件/陪伴/文化/数字治理）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科技展/数码直播间渠道；议题前沿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IDC：2026上半年全球人形机器人出货近2.5万台（+432.1%）、中国占77.9%、智元8600台领先（TechWeb）；✅当前出货集中于科研教育/展示（69%），家庭消费"刚出现苗头"；✅IDC预测2030年全球出货破75万台，家庭消费为多元驱动之一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