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02. “跟着赛事去旅行”——体育赛事游客文旅消费需求与目的地选择研究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仅供参赛团队研究使用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研究对象：外地参赛者、陪同人员和赛事观众。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核心变量/研究问题：赛事吸引力、目的地形象、交通便利性、文旅线路偏好、消费预算。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研究阶段：初期需求调查。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所属选题库：正大杯30个最新热点选题（topic-selection）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选择马拉松、球赛或地方特色赛事作为案例。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S2，政策明确提出“跟着赛事去旅行”。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提示：行业报告与政策来源需在参赛前下载原文核对；本地市场结论须以问卷、访谈数据为准。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四、选题依据（研究背景）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