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038. “光影沉浸展，出片新去处”——沉浸式光影艺术展消费行为研究（补充更新批）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第二批（31-60）·补充更新（2026-10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研究对象：看过沉浸式光影艺术展（teamLab 式/敦煌光影秀等）的观众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核心变量/研究问题：观展动机（出片/亲子/艺术启蒙）、票价接受、互动体验评价、衍生品消费、同质化感知（"网红展当道"）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沉浸展现场问卷+OTA；与473（剧本杀实景）区分：聚焦艺术展览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🔶沉浸式产业市场规模（《2025中国沉浸式产业发展报告》需下载）；✅文旅部沉浸式空间培育行动；✅夜游政策扶持"沉浸式体验"（第十四轮证据）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