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09. “低空文旅，云端看城”——城市低空观光产品的消费场景与价格偏好调查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研究对象：本地居民、游客和景区游客。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核心变量/研究问题：景观吸引力、飞行时长、安全感、价格、预约方式、复购意愿。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研究阶段：初期需求调查。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选择景区、城市地标或水上旅游线路。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S5，低空经济政策解读；S2，体育赛事与文旅融合政策。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