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108. “跟着悟空游山西”——游戏 IP 带动取景地文旅消费的游客动机与满意度研究（第三批）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第四批（新奇特消费×AI新硬件×陪伴服务×文化现象×数字治理）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研究对象：因《黑神话：悟空》去过山西（或其他取景地）的游客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核心变量/研究问题：出游动机（游戏联动/古建文化/打卡）、消费支出、满意度、文创消费、重游意愿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研究阶段：成熟期（现象复盘）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所属选题库：正大杯第四批30个特色创新选题（新奇特/AI硬件/陪伴/文化/数字治理）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山西古建景区（小西天/应县木塔等）现场+线上社群；现象级 IP 自带流量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全球销量破3000万份（🔶行业口径）；✅山西独占27处取景地；✅"跟着悟空游山西"不到两个月27处景点接待536.92万人、门票收入1.66亿元（文旅部）；✅"山西旅游"资讯指数+3178%（百度指数）✅小西天五一游客+264.46%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