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109. “博物馆奇妙夜”——博物馆夜游、夜间文化消费需求研究（第三批）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研究对象：参观过或期待博物馆夜场（夜游/夜宿/夜展）的城市居民与游客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核心变量/研究问题：夜游动机、项目偏好（夜展/演出/夜宿）、门票与体验付费意愿、满意度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博物馆公众号渠道+馆内现场问卷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🔶多地博物馆推出夜游项目（上海/杭州等媒体报道，需引具体案例）；✅文旅消费扩容与"白天看展晚上看城"趋势（文旅部数据，🔶最新口径待核对）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