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119. “精致露营，野趣升级”——精致露营消费行为与装备消费研究（第三批）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研究对象：近年参与过精致露营/Glamping 的 18—45 岁人群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核心变量/研究问题：参与频次、消费支出（营地/装备/餐饮）、体验满意度、社交分享、复购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营地/户外店渠道；与第一批房车形成"住宿形态"对照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🔶精致露营市场数据（艾媒等报告，🔶需下载原文）；✅露营装备市场扩容（行业报告线索）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