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133. “进厂游，探秘生产线”——工业旅游、工厂开放参观参与动机与满意度研究（第五+六批）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研究对象：参加过工厂参观/工业研学（汽水厂/汽车厂/火箭工厂等）的游客或家长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核心变量/研究问题：参与动机（科普/亲子/网红打卡）、参观体验、消费支出（门票/伴手礼）、满意度、推荐意愿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研究阶段：中期（2026热点）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开放工厂/工业旅游基地现场问卷+旅行社渠道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✅文旅部、工信部等七部门2026年5月《关于弘扬工业文化保护工业遗产发展工业旅游的通知》；✅2026暑期"工厂类"旅行产品预订热度同比增超三成；✅首钢园2025年客流量1438万人次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