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135. “老厂房再生，文创新生”——工业遗产改造文创园消费行为研究（第五+六批）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研究对象：到访过老厂房改造文创园（北京798/首钢园/沈阳1905/东郊记忆等）的消费者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核心变量/研究问题：打卡动机、业态消费（餐饮/剧场/市集）、文化感知、停留时长、复访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文创园现场+社交媒体打卡数据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✅首钢园1438万人次/年；✅成都东郊记忆集聚330余家商企；✅沈阳1905文创园保留钢架天吊、聚集独立书店手作工坊；✅全国142家国家工业旅游示范基地、264项国家工业遗产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