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138. “工业遗存，城市乡愁”——工业遗产保护中的居民情感记忆与文旅化接受度研究（第五+六批）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研究对象：老工业基地城市（沈阳/武汉/重庆等）居民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核心变量/研究问题：工业记忆认同、老厂区改造接受度、文旅化消费参与、情感联结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研究阶段：早期（情感+文化）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老工业城市社区/博物馆渠道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✅264项国家工业遗产（工信部）；✅沈阳铸造厂车间改造为中国工业博物馆、年接待133万人次（保护利用案例）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