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139. “年轻人在上班与上进间选择上香”——年轻人寺庙游、上香消费动机研究（第五+六批）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研究对象：近一年去过寺庙/上香/参与祈福的 18—35 岁青年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核心变量/研究问题：出行动机（解压/求签/打卡/文化）、消费项目（门票/香火/法物/餐饮）、情绪收益、再访意愿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研究阶段：中期（现象研究）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寺庙景区/地铁口寺庙商圈现场问卷+线上社群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✅寺庙经济2025年1000亿级、常年10%增速（媒体测算🔶）；✅2026上半年寺庙游客18—35岁占比近六成；✅抖音"寺庙"搜索指数年增超586%、90后00后占预订近50%（携程/平台）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