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140. “祈福手串，好运UP”——祈福文创（手串、香囊、咖啡杯套）消费行为研究（第五+六批）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研究对象：购买过寺庙/玄学系文创（雍和宫手串、慈悲咖啡杯套等）的年轻人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核心变量/研究问题：购买动机（好运心理/收藏/送礼）、价格接受、复购、社交分享、"玄学消费"态度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寺庙文创店/相关电商渠道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✅"祈福经济/玄学经济"扩展为法物购买等综合消费（百度百科）；✅雍和宫手串等祈福潮流现象（媒体）；✅情绪经济27186亿元（情绪消费大背景）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