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141. “寺庙咖啡，禅意一杯”——寺庙、寺院咖啡馆消费体验研究（第五+六批）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第五+六批（银发康养×宠物金融×工业文旅×祈福静经济×卡牌电竞×社区餐饮×认养农业×情绪茶饮）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研究对象：去过寺庙咖啡馆（如永福寺慈杯咖啡等）的消费者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核心变量/研究问题：打卡动机（反差感/禅意）、产品与氛围体验、消费金额、分享传播、复购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研究阶段：早期（新现象）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所属选题库：正大杯第五+六批60个特色选题（银发/宠物/工业文旅/祈福/静经济/卡牌/电竞/社区/认养/茶饮）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网红寺庙咖啡门店现场问卷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🔶"寺庙+咖啡"为新消费现象（媒体多次报道，如杭州永福寺"慈杯"咖啡，需引原文）；✅寺庙经济与年轻化消费背景；✅咖啡市场2025年3549亿元（第二批已核验）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