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144. “寺庙游热，是解压还是盲从”——青年寺庙消费的理性与情绪边界研究（第五+六批）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第五+六批（银发康养×宠物金融×工业文旅×祈福静经济×卡牌电竞×社区餐饮×认养农业×情绪茶饮）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研究对象：18—35岁参与过或关注寺庙消费的青年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核心变量/研究问题：消费理性、情绪价值、跟风心理、文化认同、消费观反思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研究阶段：早期（批判性视角，评委喜欢）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所属选题库：正大杯第五+六批60个特色选题（银发/宠物/工业文旅/祈福/静经济/卡牌/电竞/社区/认养/茶饮）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线上问卷+焦点小组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✅寺庙经济10%增速vs情绪经济4万亿背景；🔶"上香还是信仰"社会讨论（搜狐等媒体观点文章，需引原文）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