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209. “景区NPC，实景游戏”——景区实景游戏、NPC互动（大唐不夜城式）消费体验研究（补充更新批）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第七批（181-210）·补充更新（2026-10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研究对象：参与过景区NPC互动/实景RPG的游客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核心变量/研究问题：参与动机（沉浸/出片）、互动形式（对暗号/任务线）、排队与体验、门票溢价接受、复游意愿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演艺型景区现场+OTA；与473（剧本杀店）区分：聚焦景区场景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🔶大唐不夜城"盛唐密盒"、开封万岁山NPC现象（央视/媒体多次报道需引原文）；✅沉浸式文旅政策；✅夜游热度+47%（第十四轮证据）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