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227. “博物馆文创，带回家”——博物馆文创、文博IP消费行为研究（第八批）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研究对象：购买过博物馆文创（故宫/三星堆/省博）的游客或爱好者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核心变量/研究问题：购买动机（纪念/送礼/IP热爱）、品类偏好（冰箱贴/盲盒/服饰）、价格接受、复购、文创IP认同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博物馆文创店现场+线上社群；与109题（夜游）区分：聚焦文创商品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🔶博物馆文创市场规模（行业报告需核验）；✅文博游热潮（第三批研学/文博数据背景）；✅故宫/三星堆文创现象级案例（媒体）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