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230. “城市记忆，本地IP”——地域文化IP、城市限定消费行为研究（第八批）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第八批（数字服务×绿色低碳×母婴健康×文博非遗×新体育休闲×银发婚恋）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研究对象：购买过城市限定/本地文化IP产品（城市冰箱贴/方言文创/城市雪糕）的消费者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核心变量/研究问题：购买动机（纪念/打卡/送礼）、品类偏好、价格接受、外地游客vs本地人差异、传播分享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所属选题库：正大杯第八批30个特色选题（数字服务/绿色低碳/母婴健康/文博非遗/新体育休闲/银发婚恋）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景区文创店/城市市集渠道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🔶城市文创热（"城市冰箱贴"社交媒体现象，需引媒体）；✅文旅消费扩容背景；✅城市品牌营销政策（🔶）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