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238. “周末微度假，城市'躺平'”——周末微度假、城市周边游消费行为研究（第八批）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第八批（数字服务×绿色低碳×母婴健康×文博非遗×新体育休闲×银发婚恋）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研究对象：有周末短途出游习惯的城市家庭/青年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核心变量/研究问题：出行半径（1—3小时）、偏好业态（民宿/露营/温泉）、人均消费、频次、满意度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所属选题库：正大杯第八批30个特色选题（数字服务/绿色低碳/母婴健康/文博非遗/新体育休闲/银发婚恋）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周边游社群/OTA渠道；与89题（银发旅游）、119题（露营）区分：聚焦周末短途度假形态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🔶周边游/微度假数据（携程等OTA报告需下载）；✅文旅消费扩容政策背景；✅"Citywalk/微度假"媒体现象（🔶）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