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25. “国潮焕新，非遗入市”——非遗文创产品购买意愿与青年参与机制研究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 岁青年消费者。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核心变量/研究问题：文化认同、产品设计、实用性、社交传播、价格、购买意愿。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研究阶段：中期意愿研究。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必须锁定一个具体项目，例如漆器、剪纸、地方戏曲或传统食品。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S4，文化遗产保护传承“十五五”规划；本地非遗名录和文旅部门资料。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## F. 绿色消费、循环经济与社会调查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