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285. “县城旅游，反向出圈”——县域旅游、反向旅游消费行为研究（第十批）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研究对象：去过县域目的地（小城/古镇/乡村）旅游的城市游客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核心变量/研究问题：目的地选择动机（松弛感/性价比/避人流）、消费支出、住宿餐饮体验、满意度、复游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研究阶段：中期（现象前沿）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县域景区/OTA渠道；与89题（银发旅游）、58题（县域青年）区分：聚焦反向旅游现象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🔶"反向旅游/县城游"现象（媒体多次报道，需引原文）；✅县域旅游收入数据（文旅部🔶需核验）；✅乡村旅游与乡村全面振兴政策背景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