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347. “音乐节，现场经济的狂飙与洗牌”——音乐节消费行为与“一城一演”带动研究（第十二批）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研究对象：参加过音乐节（太湖湾/迷笛/草莓等）的观众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核心变量/研究问题：参与动机、票务消费（票价/黄牛）、现场消费（餐饮/周边/露营）、跨城出行、带动消费感知、满意度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音乐节现场+乐迷社群；与76题（演出下沉）区分：聚焦户外音乐节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✅2026上半年全国100余场音乐节、总票房超9.8亿元（同比收缩）；✅太湖湾音乐节4天14万乐迷、直接营收1.2亿元、带动周边消费超9亿元；✅能盈利的音乐节不到15%（行业🔶）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