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349. “小剧场话剧，文化夜生活”——话剧、舞台剧、小剧场消费意愿研究（第十二批）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第十二批（居住城市更新×新就业形态×银发2.0×文化娱乐×出行车辆×商业新形态）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研究对象：看过话剧/舞台剧（含小剧场、脱口秀剧场）的都市观众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核心变量/研究问题：观演频次、票价接受、题材偏好、剧场氛围体验、与电影/演唱会对比、复购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所属选题库：正大杯第十二批30个特色选题（居住城市更新/新就业形态/银发2.0/文化娱乐/出行车辆/商业新形态）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剧院/小剧场渠道；与110题（脱口秀）区分：聚焦戏剧演出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🔶话剧市场（中国演出行业协会数据需下载）；✅演出市场304亿元大盘（第三批已核验）；✅"XR/沉浸"演出新形态（媒体🔶）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