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391. “越夜越精彩，城市夜消费”——城市夜间消费行为与时段分布研究（第十四批）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研究对象：有夜间外出消费习惯（购物/娱乐/餐饮）的城市居民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核心变量/研究问题：夜间消费时段、场景偏好、频次与花费、深夜消费动因、安全感知、与日间消费对比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研究阶段：中期（现象前沿）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商圈/夜市现场问卷+线上；评委关注新消费场景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中国夜间经济规模预计45万亿—50万亿元、年复合增速8%—10%；✅2026年5月夜间时段日均活跃用户9.37亿（+4.6%）、深夜时段（0—2点）4.4亿（+16.9%）；✅30岁以下占33%、新一线/二线/三线合计超六成（行业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