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395. “夜游一座城，光影打卡”——夜游、灯光秀、沉浸式夜景消费行为研究（第十四批）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研究对象：体验过夜游（夜景游船/灯光秀/古镇夜游）的游客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核心变量/研究问题：夜游动机（出片/避暑/氛围）、项目类型（灯光秀/游船/夜市）、门票价格接受、带动消费（餐饮住宿）、满意度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夜游项目现场+OTA渠道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夜游产品预订热度同比+52%、跨城夜游非本地订单占56%、18-35岁占58%（同程暑期夜游报告）；✅北京亮马河国际风情夜市单日客流破8.2万人次；✅2026夜游政策重点扶持沉浸式体验/水上夜游/夜间文旅消费集聚区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