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414. “古风工作室，旅拍创业经”——古风旅拍工作室创业与经营研究（补充更新批）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第十四批（391-420）·补充更新（2026-10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研究对象：开设古风旅拍/汉服妆造工作室的主理人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核心变量/研究问题：创业启动成本（服装/妆造/摄影）、客单价与套系、旺季（假期/花期）、平台获客、盈利与竞争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研究阶段：中期（供给侧）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古镇/景区旅拍店访谈；与112（游客端）区分：聚焦创业者端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🔶旅拍行业爆发（"古装旅拍"景区现象媒体）；✅旅拍监管（景区明码标价规范、云南/西安整治媒体🔶）；✅三坑服饰1200亿（第七轮证据）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