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415. “夜宿博物馆，亲子奇遇”——博物馆夜宿、亲子夜间营体验研究（补充更新批）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第十四批（391-420）·补充更新（2026-10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研究对象：参加过博物馆夜宿/夜营（恐龙夜宿等）的亲子家庭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核心变量/研究问题：报名动机、夜宿项目（帐篷/寻宝/讲解）、费用接受（数百-千元）、安全与睡眠设施、复报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研究阶段：早期+中期（细分）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自然博物馆/科技馆渠道；与109（夜游）区分：聚焦住宿型夜营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🔶"博物馆夜宿"（上海自然博物馆"恐龙夜宿"媒体报道需引原文）；✅博物馆教育功能强化（政策背景）；✅亲子研学热（478题衔接）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