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437. “主题乐园，快乐经济”——主题乐园、亲子乐园消费行为研究（第十五批）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研究对象：去过主题乐园（迪士尼/欢乐谷/本地乐园）的消费者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核心变量/研究问题：客源结构（亲子/情侣）、门票与二次消费（餐饮/周边）、排队体验、年卡消费、满意度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乐园现场+OTA渠道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🔶主题乐园市场（AECOM/TEA报告需下载）；✅上海迪士尼/北京环球客流（媒体数据🔶）；✅文娱消费304亿（第三批已核验）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