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438. “景区咖啡馆，慢旅行体验”——景区、博物馆文创餐饮（景区咖啡馆、文创雪糕）消费研究（第十五批）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研究对象：在景区/博物馆买过文创餐饮（雪糕/咖啡/茶饮）的游客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核心变量/研究问题：购买动机（打卡/解渴/纪念）、文创设计吸引力、价格接受（溢价）、拍照传播、复购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景区现场+社交平台内容分析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🔶文创雪糕/景区咖啡（媒体现象报道需引原文）；✅文博文创热（227-231题衔接）；✅旅行消费升级（文旅部数据🔶）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