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440. “上天入海，低空文旅体验”——低空、新场景文旅消费（直升机观光、热气球、滑翔伞）研究（第十五批）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研究对象：体验过低空文旅项目（直升机/热气球/滑翔伞）的游客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核心变量/研究问题：体验动机（刺激/出片）、价格接受（单次几百-千元）、安全保障感知、低空经济政策知晓、复购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研究阶段：早期+中期（风口）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低空文旅运营商/景区渠道；与06-09题（低空经济）区分：聚焦消费端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✅低空经济规模超5000亿（第一批已核验）；✅低空文旅列入政策支持方向（2026夜游政策，第十四轮证据）；🔶低空飞行体验项目（媒体）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